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851"/>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851"/>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public liability insurance with cover (for a single event or a series of related events and in the aggregate) of not less than one million pounds (£1,000,000);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851"/>
        </w:tabs>
        <w:spacing w:after="120" w:before="120" w:lineRule="auto"/>
        <w:ind w:left="900" w:hanging="540"/>
        <w:jc w:val="left"/>
        <w:rPr>
          <w:rFonts w:ascii="Arial" w:cs="Arial" w:eastAsia="Arial" w:hAnsi="Arial"/>
          <w:color w:val="000000"/>
          <w:sz w:val="24"/>
          <w:szCs w:val="24"/>
          <w:highlight w:val="white"/>
        </w:rPr>
      </w:pPr>
      <w:bookmarkStart w:colFirst="0" w:colLast="0" w:name="_heading=h.3znysh7" w:id="3"/>
      <w:bookmarkEnd w:id="3"/>
      <w:r w:rsidDel="00000000" w:rsidR="00000000" w:rsidRPr="00000000">
        <w:rPr>
          <w:rFonts w:ascii="Arial" w:cs="Arial" w:eastAsia="Arial" w:hAnsi="Arial"/>
          <w:color w:val="000000"/>
          <w:sz w:val="24"/>
          <w:szCs w:val="24"/>
          <w:highlight w:val="white"/>
          <w:rtl w:val="0"/>
        </w:rPr>
        <w:t xml:space="preserve">product liability insurance with cover (for a single event or a series of related events and in the aggregate) of not less than one million pounds (£1,000,000);</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851"/>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smallCaps w:val="1"/>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1fob9te" w:id="4"/>
      <w:bookmarkEnd w:id="4"/>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ListParagraph">
    <w:name w:val="List Paragraph"/>
    <w:basedOn w:val="Normal"/>
    <w:uiPriority w:val="34"/>
    <w:qFormat w:val="1"/>
    <w:rsid w:val="00E03CC3"/>
    <w:pPr>
      <w:overflowPunct w:val="1"/>
      <w:autoSpaceDE w:val="1"/>
      <w:autoSpaceDN w:val="1"/>
      <w:adjustRightInd w:val="1"/>
      <w:spacing w:after="160" w:line="259" w:lineRule="auto"/>
      <w:ind w:left="720"/>
      <w:contextualSpacing w:val="1"/>
      <w:jc w:val="left"/>
      <w:textAlignment w:val="auto"/>
    </w:pPr>
    <w:rPr>
      <w:rFonts w:cs="Calibri" w:eastAsia="Calibri"/>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0IPA9gUFPKNfmWflr/iPAG5/Jg==">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